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Normatividad especial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El Hospital Departamental Mario Correa Rengifo E.S.E., en virtud de lo dispuesto en la Ley 100 de 1993 y el Decreto 1808 de 1995, mediante el cual fue transformado en Empresa Social del Estado, constituye una entidad pública descentralizada del orden departamental, dotada de personería jurídica, patrimonio propio y autonomía administrativa, sometida al régimen jurídico aplicable a las Empresas Sociales del Estado.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consecuencia, su marco normativo se encuentra determinado de manera integral por la Constitución Política, la Ley 100 de 1993, el régimen propio de las Empresas Sociales del Estado y las demás disposiciones legales y reglamentarias concordantes que regulan la prestación del servicio público esencial de salud.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Bajo este entendido, la entidad no expide normatividad especial adicional distinta a la normativa general que regula su naturaleza jurídica, estructura y funcionamiento, razón por la cual no aplica reporte específico en el ítem de normatividad especial.</w:t>
      </w:r>
    </w:p>
    <w:p w:rsidR="00000000" w:rsidDel="00000000" w:rsidP="00000000" w:rsidRDefault="00000000" w:rsidRPr="00000000" w14:paraId="00000005">
      <w:pPr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https://www.suin-juriscol.gov.co/viewDocument.asp?ruta=Decretos/30021559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uin-juriscol.gov.co/viewDocument.asp?ruta=Decretos/30021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5dMN/mxNA23WogU9ZM3AoFQD4g==">CgMxLjA4AHIhMTN5R3ZQWVZwNnc1cDJLc3BoVl9WNF9IempzTU1CRGZu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